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3F0" w:rsidRPr="00B943F0" w:rsidRDefault="00B943F0" w:rsidP="00B943F0">
      <w:pPr>
        <w:ind w:left="2340" w:right="1124" w:hanging="924"/>
        <w:jc w:val="both"/>
        <w:rPr>
          <w:rFonts w:ascii="Tahoma" w:hAnsi="Tahoma" w:cs="Tahoma"/>
          <w:sz w:val="22"/>
          <w:szCs w:val="22"/>
        </w:rPr>
      </w:pPr>
    </w:p>
    <w:p w:rsidR="00B943F0" w:rsidRPr="00B943F0" w:rsidRDefault="00B943F0" w:rsidP="00B943F0">
      <w:pPr>
        <w:ind w:left="2340" w:right="1124" w:hanging="924"/>
        <w:jc w:val="both"/>
        <w:rPr>
          <w:rFonts w:ascii="Tahoma" w:hAnsi="Tahoma" w:cs="Tahoma"/>
          <w:i/>
          <w:sz w:val="22"/>
          <w:szCs w:val="22"/>
        </w:rPr>
      </w:pPr>
      <w:r w:rsidRPr="00B943F0">
        <w:rPr>
          <w:rFonts w:ascii="Tahoma" w:hAnsi="Tahoma" w:cs="Tahoma"/>
          <w:b/>
          <w:i/>
          <w:sz w:val="22"/>
          <w:szCs w:val="22"/>
        </w:rPr>
        <w:t>Sumilla</w:t>
      </w:r>
      <w:r w:rsidRPr="00B943F0">
        <w:rPr>
          <w:rFonts w:ascii="Tahoma" w:hAnsi="Tahoma" w:cs="Tahoma"/>
          <w:b/>
          <w:sz w:val="22"/>
          <w:szCs w:val="22"/>
        </w:rPr>
        <w:t xml:space="preserve">: </w:t>
      </w:r>
      <w:r w:rsidRPr="00B943F0">
        <w:rPr>
          <w:rFonts w:ascii="Tahoma" w:hAnsi="Tahoma" w:cs="Tahoma"/>
          <w:i/>
          <w:sz w:val="22"/>
          <w:szCs w:val="22"/>
        </w:rPr>
        <w:t>Los errores materiales o aritméticos contenidos en los actos administrativos pueden ser rectificados con efecto retroactivo, en cualquier momento, de oficio o a instancia de los administrados.</w:t>
      </w:r>
    </w:p>
    <w:p w:rsidR="00B943F0" w:rsidRPr="00B943F0" w:rsidRDefault="00B943F0" w:rsidP="00B943F0">
      <w:pPr>
        <w:pStyle w:val="Textoindependiente3"/>
        <w:ind w:left="2124" w:firstLine="708"/>
        <w:rPr>
          <w:rFonts w:ascii="Tahoma" w:hAnsi="Tahoma" w:cs="Tahoma"/>
          <w:b w:val="0"/>
          <w:i/>
          <w:sz w:val="22"/>
          <w:szCs w:val="22"/>
          <w:lang w:val="es-ES"/>
        </w:rPr>
      </w:pPr>
    </w:p>
    <w:p w:rsidR="00B943F0" w:rsidRPr="00B943F0" w:rsidRDefault="00B943F0" w:rsidP="00B943F0">
      <w:pPr>
        <w:pStyle w:val="Textoindependiente3"/>
        <w:ind w:left="2124" w:firstLine="708"/>
        <w:rPr>
          <w:rFonts w:ascii="Tahoma" w:hAnsi="Tahoma" w:cs="Tahoma"/>
          <w:b w:val="0"/>
          <w:sz w:val="22"/>
          <w:szCs w:val="22"/>
          <w:lang w:val="es-ES"/>
        </w:rPr>
      </w:pPr>
    </w:p>
    <w:p w:rsidR="00B943F0" w:rsidRPr="00B943F0" w:rsidRDefault="00B943F0" w:rsidP="00E4324A">
      <w:pPr>
        <w:pStyle w:val="Textoindependiente3"/>
        <w:ind w:left="4248" w:firstLine="708"/>
        <w:jc w:val="right"/>
        <w:rPr>
          <w:rFonts w:ascii="Tahoma" w:hAnsi="Tahoma" w:cs="Tahoma"/>
          <w:sz w:val="22"/>
          <w:szCs w:val="22"/>
        </w:rPr>
      </w:pPr>
      <w:r w:rsidRPr="00B943F0">
        <w:rPr>
          <w:rFonts w:ascii="Tahoma" w:hAnsi="Tahoma" w:cs="Tahoma"/>
          <w:sz w:val="22"/>
          <w:szCs w:val="22"/>
        </w:rPr>
        <w:t>Lima,</w:t>
      </w:r>
      <w:r w:rsidR="00E4324A">
        <w:rPr>
          <w:rFonts w:ascii="Tahoma" w:hAnsi="Tahoma" w:cs="Tahoma"/>
          <w:sz w:val="22"/>
          <w:szCs w:val="22"/>
        </w:rPr>
        <w:t xml:space="preserve"> 22 de Junio de 2011</w:t>
      </w:r>
    </w:p>
    <w:p w:rsidR="00B943F0" w:rsidRPr="00B943F0" w:rsidRDefault="00B943F0" w:rsidP="00B943F0">
      <w:pPr>
        <w:pStyle w:val="Textoindependiente3"/>
        <w:jc w:val="left"/>
        <w:rPr>
          <w:rFonts w:ascii="Tahoma" w:hAnsi="Tahoma" w:cs="Tahoma"/>
          <w:b w:val="0"/>
          <w:sz w:val="22"/>
          <w:szCs w:val="22"/>
        </w:rPr>
      </w:pPr>
    </w:p>
    <w:p w:rsidR="00B943F0" w:rsidRPr="00B943F0" w:rsidRDefault="00B943F0" w:rsidP="00B943F0">
      <w:pPr>
        <w:pStyle w:val="Textoindependiente3"/>
        <w:jc w:val="left"/>
        <w:rPr>
          <w:rFonts w:ascii="Tahoma" w:hAnsi="Tahoma" w:cs="Tahoma"/>
          <w:b w:val="0"/>
          <w:sz w:val="22"/>
          <w:szCs w:val="22"/>
        </w:rPr>
      </w:pPr>
    </w:p>
    <w:p w:rsidR="00B943F0" w:rsidRPr="00B943F0" w:rsidRDefault="00B943F0" w:rsidP="00B943F0">
      <w:pPr>
        <w:ind w:firstLine="540"/>
        <w:jc w:val="both"/>
        <w:rPr>
          <w:rFonts w:ascii="Tahoma" w:hAnsi="Tahoma" w:cs="Tahoma"/>
          <w:w w:val="102"/>
          <w:sz w:val="22"/>
          <w:szCs w:val="22"/>
        </w:rPr>
      </w:pPr>
      <w:r w:rsidRPr="00B943F0">
        <w:rPr>
          <w:rFonts w:ascii="Tahoma" w:hAnsi="Tahoma" w:cs="Tahoma"/>
          <w:b/>
          <w:w w:val="102"/>
          <w:sz w:val="22"/>
          <w:szCs w:val="22"/>
        </w:rPr>
        <w:t>Visto,</w:t>
      </w:r>
      <w:r w:rsidRPr="00B943F0">
        <w:rPr>
          <w:rFonts w:ascii="Tahoma" w:hAnsi="Tahoma" w:cs="Tahoma"/>
          <w:w w:val="102"/>
          <w:sz w:val="22"/>
          <w:szCs w:val="22"/>
        </w:rPr>
        <w:t xml:space="preserve"> </w:t>
      </w:r>
      <w:r w:rsidRPr="00B943F0">
        <w:rPr>
          <w:rFonts w:ascii="Tahoma" w:hAnsi="Tahoma" w:cs="Tahoma"/>
          <w:sz w:val="22"/>
          <w:szCs w:val="22"/>
        </w:rPr>
        <w:t xml:space="preserve">en sesión de fecha 22 de junio de 2011 de la Cuarta Sala del Tribunal de Contrataciones del Estado, el Expediente N° 390/2011.TC, sobre el procedimiento administrativo sancionador iniciado contra C &amp; Z PLUS ULTRA E.I.R.L., por su supuesta responsabilidad en la presentación de documentación falsa y/o información inexacta para su inscripción como Ejecutor de Obras ante el Registro Nacional de Proveedores (RNP) del CONSUCODE (hoy Registro Nacional de Proveedores del OSCE); y atendiendo a los siguientes:  </w:t>
      </w:r>
    </w:p>
    <w:p w:rsidR="00B943F0" w:rsidRPr="00B943F0" w:rsidRDefault="00B943F0" w:rsidP="00B943F0">
      <w:pPr>
        <w:ind w:firstLine="540"/>
        <w:jc w:val="both"/>
        <w:rPr>
          <w:rFonts w:ascii="Tahoma" w:hAnsi="Tahoma" w:cs="Tahoma"/>
          <w:w w:val="102"/>
          <w:sz w:val="22"/>
          <w:szCs w:val="22"/>
        </w:rPr>
      </w:pPr>
    </w:p>
    <w:p w:rsidR="00B943F0" w:rsidRPr="00B943F0" w:rsidRDefault="00B943F0" w:rsidP="00B943F0">
      <w:pPr>
        <w:ind w:firstLine="540"/>
        <w:jc w:val="both"/>
        <w:rPr>
          <w:rFonts w:ascii="Tahoma" w:hAnsi="Tahoma" w:cs="Tahoma"/>
          <w:w w:val="102"/>
          <w:sz w:val="22"/>
          <w:szCs w:val="22"/>
        </w:rPr>
      </w:pPr>
    </w:p>
    <w:p w:rsidR="00B943F0" w:rsidRPr="00B943F0" w:rsidRDefault="00B943F0" w:rsidP="00B943F0">
      <w:pPr>
        <w:rPr>
          <w:rFonts w:ascii="Tahoma" w:hAnsi="Tahoma" w:cs="Tahoma"/>
          <w:b/>
          <w:sz w:val="22"/>
          <w:szCs w:val="22"/>
        </w:rPr>
      </w:pPr>
      <w:r w:rsidRPr="00B943F0">
        <w:rPr>
          <w:rFonts w:ascii="Tahoma" w:hAnsi="Tahoma" w:cs="Tahoma"/>
          <w:b/>
          <w:sz w:val="22"/>
          <w:szCs w:val="22"/>
        </w:rPr>
        <w:t>ANTECEDENTES:</w:t>
      </w:r>
    </w:p>
    <w:p w:rsidR="00B943F0" w:rsidRPr="00B943F0" w:rsidRDefault="00B943F0" w:rsidP="00B943F0">
      <w:pPr>
        <w:jc w:val="both"/>
        <w:rPr>
          <w:rFonts w:ascii="Tahoma" w:hAnsi="Tahoma" w:cs="Tahoma"/>
          <w:sz w:val="22"/>
          <w:szCs w:val="22"/>
        </w:rPr>
      </w:pPr>
    </w:p>
    <w:p w:rsidR="00B943F0" w:rsidRPr="00B943F0" w:rsidRDefault="00B943F0" w:rsidP="00B943F0">
      <w:pPr>
        <w:pStyle w:val="Textoindependiente"/>
        <w:numPr>
          <w:ilvl w:val="0"/>
          <w:numId w:val="1"/>
        </w:numPr>
        <w:tabs>
          <w:tab w:val="clear" w:pos="360"/>
          <w:tab w:val="num" w:pos="426"/>
        </w:tabs>
        <w:spacing w:before="100" w:beforeAutospacing="1" w:after="100" w:afterAutospacing="1"/>
        <w:ind w:left="426" w:hanging="426"/>
        <w:jc w:val="both"/>
        <w:rPr>
          <w:rFonts w:ascii="Tahoma" w:hAnsi="Tahoma" w:cs="Tahoma"/>
          <w:sz w:val="22"/>
          <w:szCs w:val="22"/>
        </w:rPr>
      </w:pPr>
      <w:r w:rsidRPr="00B943F0">
        <w:rPr>
          <w:rFonts w:ascii="Tahoma" w:hAnsi="Tahoma" w:cs="Tahoma"/>
          <w:sz w:val="22"/>
          <w:szCs w:val="22"/>
        </w:rPr>
        <w:t>El 24 de mayo de 2011, la Cuarta Sala del Tribunal de Contrataciones del Estado expidió la Resolución № 867-2011-TC-S4, relacionada con el procedimiento administrativo sancionador seguido contra la empresa</w:t>
      </w:r>
      <w:r w:rsidRPr="00B943F0">
        <w:rPr>
          <w:rFonts w:ascii="Tahoma" w:hAnsi="Tahoma" w:cs="Tahoma"/>
          <w:b/>
          <w:sz w:val="22"/>
          <w:szCs w:val="22"/>
        </w:rPr>
        <w:t xml:space="preserve"> </w:t>
      </w:r>
      <w:r w:rsidRPr="00B943F0">
        <w:rPr>
          <w:rFonts w:ascii="Tahoma" w:hAnsi="Tahoma" w:cs="Tahoma"/>
          <w:sz w:val="22"/>
          <w:szCs w:val="22"/>
        </w:rPr>
        <w:t>C &amp; Z PLUS ULTRA E.I.R.L. por su supuesta responsabilidad en la presentación de documentación falsa y/o información inexacta para su inscripción como Ejecutor de Obras ante el Registro Nacional de Proveedores (RNP) del CONSUCODE (hoy Registro Nacional de Proveedores del OSCE)</w:t>
      </w:r>
      <w:r w:rsidRPr="00B943F0">
        <w:rPr>
          <w:rFonts w:ascii="Tahoma" w:hAnsi="Tahoma" w:cs="Tahoma"/>
          <w:color w:val="000000"/>
          <w:sz w:val="22"/>
          <w:szCs w:val="22"/>
        </w:rPr>
        <w:t>.</w:t>
      </w:r>
    </w:p>
    <w:p w:rsidR="00B943F0" w:rsidRPr="00B943F0" w:rsidRDefault="00B943F0" w:rsidP="00B943F0">
      <w:pPr>
        <w:pStyle w:val="Textoindependiente"/>
        <w:tabs>
          <w:tab w:val="num" w:pos="426"/>
        </w:tabs>
        <w:ind w:left="426" w:hanging="426"/>
        <w:jc w:val="both"/>
        <w:rPr>
          <w:rFonts w:ascii="Tahoma" w:hAnsi="Tahoma" w:cs="Tahoma"/>
          <w:sz w:val="22"/>
          <w:szCs w:val="22"/>
        </w:rPr>
      </w:pPr>
      <w:r w:rsidRPr="00B943F0">
        <w:rPr>
          <w:rFonts w:ascii="Tahoma" w:hAnsi="Tahoma" w:cs="Tahoma"/>
          <w:b/>
          <w:bCs/>
          <w:sz w:val="22"/>
          <w:szCs w:val="22"/>
        </w:rPr>
        <w:t>2.</w:t>
      </w:r>
      <w:r w:rsidRPr="00B943F0">
        <w:rPr>
          <w:rFonts w:ascii="Tahoma" w:hAnsi="Tahoma" w:cs="Tahoma"/>
          <w:sz w:val="22"/>
          <w:szCs w:val="22"/>
        </w:rPr>
        <w:t>   En dicha Resolución se han detectado la existencia de  errores materiales que deben ser corregidos por este Tribunal.</w:t>
      </w:r>
    </w:p>
    <w:p w:rsidR="00B943F0" w:rsidRPr="00B943F0" w:rsidRDefault="00B943F0" w:rsidP="00B943F0">
      <w:pPr>
        <w:pStyle w:val="Prrafodelista"/>
        <w:ind w:left="426"/>
        <w:contextualSpacing/>
        <w:jc w:val="both"/>
        <w:rPr>
          <w:rFonts w:ascii="Tahoma" w:hAnsi="Tahoma" w:cs="Tahoma"/>
          <w:sz w:val="22"/>
          <w:szCs w:val="22"/>
        </w:rPr>
      </w:pPr>
    </w:p>
    <w:p w:rsidR="00B943F0" w:rsidRPr="00B943F0" w:rsidRDefault="00B943F0" w:rsidP="00B943F0">
      <w:pPr>
        <w:jc w:val="both"/>
        <w:rPr>
          <w:rFonts w:ascii="Tahoma" w:hAnsi="Tahoma" w:cs="Tahoma"/>
          <w:sz w:val="22"/>
          <w:szCs w:val="22"/>
        </w:rPr>
      </w:pPr>
    </w:p>
    <w:p w:rsidR="00B943F0" w:rsidRPr="00B943F0" w:rsidRDefault="00B943F0" w:rsidP="00B943F0">
      <w:pPr>
        <w:jc w:val="both"/>
        <w:rPr>
          <w:rFonts w:ascii="Tahoma" w:hAnsi="Tahoma" w:cs="Tahoma"/>
          <w:b/>
          <w:sz w:val="22"/>
          <w:szCs w:val="22"/>
        </w:rPr>
      </w:pPr>
      <w:r w:rsidRPr="00B943F0">
        <w:rPr>
          <w:rFonts w:ascii="Tahoma" w:hAnsi="Tahoma" w:cs="Tahoma"/>
          <w:b/>
          <w:sz w:val="22"/>
          <w:szCs w:val="22"/>
        </w:rPr>
        <w:t>FUNDAMENTACIÓN:</w:t>
      </w:r>
    </w:p>
    <w:p w:rsidR="00B943F0" w:rsidRPr="00B943F0" w:rsidRDefault="00B943F0" w:rsidP="00B943F0">
      <w:pPr>
        <w:pStyle w:val="Sangradetextonormal"/>
        <w:spacing w:after="0"/>
        <w:rPr>
          <w:rFonts w:ascii="Tahoma" w:hAnsi="Tahoma" w:cs="Tahoma"/>
          <w:sz w:val="22"/>
          <w:szCs w:val="22"/>
        </w:rPr>
      </w:pPr>
    </w:p>
    <w:p w:rsidR="00B943F0" w:rsidRPr="00B943F0" w:rsidRDefault="00B943F0" w:rsidP="00B943F0">
      <w:pPr>
        <w:pStyle w:val="Textoindependiente"/>
        <w:numPr>
          <w:ilvl w:val="0"/>
          <w:numId w:val="2"/>
        </w:numPr>
        <w:spacing w:after="0"/>
        <w:ind w:left="426" w:hanging="426"/>
        <w:jc w:val="both"/>
        <w:rPr>
          <w:rFonts w:ascii="Tahoma" w:hAnsi="Tahoma" w:cs="Tahoma"/>
          <w:sz w:val="22"/>
          <w:szCs w:val="22"/>
        </w:rPr>
      </w:pPr>
      <w:r w:rsidRPr="00B943F0">
        <w:rPr>
          <w:rFonts w:ascii="Tahoma" w:hAnsi="Tahoma" w:cs="Tahoma"/>
          <w:sz w:val="22"/>
          <w:szCs w:val="22"/>
        </w:rPr>
        <w:t>De conformidad con lo establecido el inciso b) del artículo 63 del Decreto Legislativo Nº 1017, Ley de Contrataciones del Estado, aplica las sanciones de inhabilitación temporal y definitiva a los proveedores, participantes, postores, contratistas, entidades y expertos independientes, según corresponda.</w:t>
      </w:r>
    </w:p>
    <w:p w:rsidR="00B943F0" w:rsidRPr="00B943F0" w:rsidRDefault="00B943F0" w:rsidP="00B943F0">
      <w:pPr>
        <w:pStyle w:val="Textoindependiente"/>
        <w:spacing w:after="0"/>
        <w:ind w:left="426"/>
        <w:jc w:val="both"/>
        <w:rPr>
          <w:rFonts w:ascii="Tahoma" w:hAnsi="Tahoma" w:cs="Tahoma"/>
          <w:sz w:val="22"/>
          <w:szCs w:val="22"/>
        </w:rPr>
      </w:pPr>
    </w:p>
    <w:p w:rsidR="00B943F0" w:rsidRPr="00B943F0" w:rsidRDefault="00B943F0" w:rsidP="00B943F0">
      <w:pPr>
        <w:pStyle w:val="Textoindependiente"/>
        <w:numPr>
          <w:ilvl w:val="0"/>
          <w:numId w:val="2"/>
        </w:numPr>
        <w:spacing w:after="0"/>
        <w:ind w:left="426" w:hanging="426"/>
        <w:jc w:val="both"/>
        <w:rPr>
          <w:rFonts w:ascii="Tahoma" w:hAnsi="Tahoma" w:cs="Tahoma"/>
          <w:sz w:val="22"/>
          <w:szCs w:val="22"/>
        </w:rPr>
      </w:pPr>
      <w:r w:rsidRPr="00B943F0">
        <w:rPr>
          <w:rFonts w:ascii="Tahoma" w:hAnsi="Tahoma" w:cs="Tahoma"/>
          <w:sz w:val="22"/>
          <w:szCs w:val="22"/>
        </w:rPr>
        <w:t xml:space="preserve">En este sentido, debe tenerse presente que los errores materiales o aritméticos contenidos en los actos administrativos pueden ser rectificados con efecto </w:t>
      </w:r>
      <w:r w:rsidRPr="00B943F0">
        <w:rPr>
          <w:rFonts w:ascii="Tahoma" w:hAnsi="Tahoma" w:cs="Tahoma"/>
          <w:sz w:val="22"/>
          <w:szCs w:val="22"/>
        </w:rPr>
        <w:lastRenderedPageBreak/>
        <w:t>retroactivo, en cualquier momento, de oficio o a instancia de los administrados, siempre que no se altere lo sustancial de su contenido ni el sentido de la decisión, según lo prescrito en el artículo 201 de la Ley del Procedimiento Administrativo General, Ley № 27444.</w:t>
      </w:r>
    </w:p>
    <w:p w:rsidR="00B943F0" w:rsidRPr="00B943F0" w:rsidRDefault="00B943F0" w:rsidP="00B943F0">
      <w:pPr>
        <w:pStyle w:val="Prrafodelista"/>
        <w:rPr>
          <w:rFonts w:ascii="Tahoma" w:hAnsi="Tahoma" w:cs="Tahoma"/>
          <w:sz w:val="22"/>
          <w:szCs w:val="22"/>
        </w:rPr>
      </w:pPr>
    </w:p>
    <w:p w:rsidR="00B943F0" w:rsidRPr="00B943F0" w:rsidRDefault="00B943F0" w:rsidP="00B943F0">
      <w:pPr>
        <w:pStyle w:val="Textoindependiente"/>
        <w:numPr>
          <w:ilvl w:val="0"/>
          <w:numId w:val="2"/>
        </w:numPr>
        <w:jc w:val="both"/>
        <w:rPr>
          <w:rFonts w:ascii="Tahoma" w:hAnsi="Tahoma" w:cs="Tahoma"/>
          <w:sz w:val="22"/>
          <w:szCs w:val="22"/>
        </w:rPr>
      </w:pPr>
      <w:r w:rsidRPr="00B943F0">
        <w:rPr>
          <w:rFonts w:ascii="Tahoma" w:hAnsi="Tahoma" w:cs="Tahoma"/>
          <w:sz w:val="22"/>
          <w:szCs w:val="22"/>
        </w:rPr>
        <w:t>En este orden de ideas, se ha advertido la existencia de errores materiales en la  Resolución № 867-2011-TC-S4 en el numeral 1 de su parte resolutiva, que es necesario corregir.</w:t>
      </w:r>
    </w:p>
    <w:p w:rsidR="00B943F0" w:rsidRPr="00B943F0" w:rsidRDefault="00B943F0" w:rsidP="00B943F0">
      <w:pPr>
        <w:pStyle w:val="Textoindependiente"/>
        <w:jc w:val="both"/>
        <w:rPr>
          <w:rFonts w:ascii="Tahoma" w:hAnsi="Tahoma" w:cs="Tahoma"/>
          <w:sz w:val="22"/>
          <w:szCs w:val="22"/>
        </w:rPr>
      </w:pPr>
    </w:p>
    <w:p w:rsidR="00B943F0" w:rsidRPr="00B943F0" w:rsidRDefault="00B943F0" w:rsidP="00B943F0">
      <w:pPr>
        <w:jc w:val="both"/>
        <w:rPr>
          <w:rFonts w:ascii="Tahoma" w:hAnsi="Tahoma" w:cs="Tahoma"/>
          <w:b/>
          <w:shadow/>
          <w:sz w:val="22"/>
          <w:szCs w:val="22"/>
        </w:rPr>
      </w:pPr>
      <w:r w:rsidRPr="00B943F0">
        <w:rPr>
          <w:rFonts w:ascii="Tahoma" w:hAnsi="Tahoma" w:cs="Tahoma"/>
          <w:sz w:val="22"/>
          <w:szCs w:val="22"/>
        </w:rPr>
        <w:t xml:space="preserve">    Por estos fundamentos, de conformidad con el informe del Vocal Ponente Dr. Martín Zumaeta </w:t>
      </w:r>
      <w:proofErr w:type="spellStart"/>
      <w:r w:rsidRPr="00B943F0">
        <w:rPr>
          <w:rFonts w:ascii="Tahoma" w:hAnsi="Tahoma" w:cs="Tahoma"/>
          <w:sz w:val="22"/>
          <w:szCs w:val="22"/>
        </w:rPr>
        <w:t>Giudichi</w:t>
      </w:r>
      <w:proofErr w:type="spellEnd"/>
      <w:r w:rsidRPr="00B943F0">
        <w:rPr>
          <w:rFonts w:ascii="Tahoma" w:hAnsi="Tahoma" w:cs="Tahoma"/>
          <w:sz w:val="22"/>
          <w:szCs w:val="22"/>
        </w:rPr>
        <w:t xml:space="preserve"> y la intervención de los Vocales Doctores Jorge Silva Dávila y </w:t>
      </w:r>
      <w:proofErr w:type="spellStart"/>
      <w:r w:rsidRPr="00B943F0">
        <w:rPr>
          <w:rFonts w:ascii="Tahoma" w:hAnsi="Tahoma" w:cs="Tahoma"/>
          <w:sz w:val="22"/>
          <w:szCs w:val="22"/>
        </w:rPr>
        <w:t>Dammar</w:t>
      </w:r>
      <w:proofErr w:type="spellEnd"/>
      <w:r w:rsidRPr="00B943F0">
        <w:rPr>
          <w:rFonts w:ascii="Tahoma" w:hAnsi="Tahoma" w:cs="Tahoma"/>
          <w:sz w:val="22"/>
          <w:szCs w:val="22"/>
        </w:rPr>
        <w:t xml:space="preserve"> Salazar Díaz,</w:t>
      </w:r>
      <w:r w:rsidRPr="00B943F0">
        <w:rPr>
          <w:rFonts w:ascii="Tahoma" w:eastAsia="Calibri" w:hAnsi="Tahoma" w:cs="Tahoma"/>
          <w:color w:val="000000"/>
          <w:sz w:val="22"/>
          <w:szCs w:val="22"/>
        </w:rPr>
        <w:t xml:space="preserve"> </w:t>
      </w:r>
      <w:r w:rsidRPr="00B943F0">
        <w:rPr>
          <w:rFonts w:ascii="Tahoma" w:hAnsi="Tahoma" w:cs="Tahoma"/>
          <w:sz w:val="22"/>
          <w:szCs w:val="22"/>
        </w:rPr>
        <w:t>y atendiendo a la conformación de la Cuarta Sala del Tribunal de Contrataciones del Estado según lo dispuesto en la Resolución Nº 103-2011-OSCE/PRE, expedida el 15 de febrero de 2011</w:t>
      </w:r>
      <w:r w:rsidRPr="00B943F0">
        <w:rPr>
          <w:rFonts w:ascii="Tahoma" w:eastAsia="Calibri" w:hAnsi="Tahoma" w:cs="Tahoma"/>
          <w:color w:val="000000"/>
          <w:sz w:val="22"/>
          <w:szCs w:val="22"/>
        </w:rPr>
        <w:t xml:space="preserve">, </w:t>
      </w:r>
      <w:r w:rsidRPr="00B943F0">
        <w:rPr>
          <w:rFonts w:ascii="Tahoma" w:hAnsi="Tahoma" w:cs="Tahoma"/>
          <w:sz w:val="22"/>
          <w:szCs w:val="22"/>
        </w:rPr>
        <w:t>y en ejercicio de las facultades conferidas en los artículos 53, 59 y 61 aprobado por Decreto Legislativo №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B943F0" w:rsidRPr="00B943F0" w:rsidRDefault="00B943F0" w:rsidP="00B943F0">
      <w:pPr>
        <w:jc w:val="both"/>
        <w:rPr>
          <w:rFonts w:ascii="Tahoma" w:hAnsi="Tahoma" w:cs="Tahoma"/>
          <w:b/>
          <w:shadow/>
          <w:sz w:val="22"/>
          <w:szCs w:val="22"/>
        </w:rPr>
      </w:pPr>
    </w:p>
    <w:p w:rsidR="00B943F0" w:rsidRPr="00B943F0" w:rsidRDefault="00B943F0" w:rsidP="00B943F0">
      <w:pPr>
        <w:jc w:val="both"/>
        <w:rPr>
          <w:rFonts w:ascii="Tahoma" w:hAnsi="Tahoma" w:cs="Tahoma"/>
          <w:b/>
          <w:shadow/>
          <w:sz w:val="22"/>
          <w:szCs w:val="22"/>
        </w:rPr>
      </w:pPr>
    </w:p>
    <w:p w:rsidR="00B943F0" w:rsidRPr="00B943F0" w:rsidRDefault="00B943F0" w:rsidP="00B943F0">
      <w:pPr>
        <w:jc w:val="both"/>
        <w:rPr>
          <w:rFonts w:ascii="Tahoma" w:hAnsi="Tahoma" w:cs="Tahoma"/>
          <w:b/>
          <w:shadow/>
          <w:sz w:val="22"/>
          <w:szCs w:val="22"/>
        </w:rPr>
      </w:pPr>
      <w:r w:rsidRPr="00B943F0">
        <w:rPr>
          <w:rFonts w:ascii="Tahoma" w:hAnsi="Tahoma" w:cs="Tahoma"/>
          <w:b/>
          <w:shadow/>
          <w:sz w:val="22"/>
          <w:szCs w:val="22"/>
        </w:rPr>
        <w:t>LA SALA RESUELVE:</w:t>
      </w:r>
    </w:p>
    <w:p w:rsidR="00B943F0" w:rsidRPr="00B943F0" w:rsidRDefault="00B943F0" w:rsidP="00B943F0">
      <w:pPr>
        <w:jc w:val="both"/>
        <w:rPr>
          <w:rFonts w:ascii="Tahoma" w:hAnsi="Tahoma" w:cs="Tahoma"/>
          <w:sz w:val="22"/>
          <w:szCs w:val="22"/>
        </w:rPr>
      </w:pPr>
    </w:p>
    <w:p w:rsidR="00B943F0" w:rsidRPr="00B943F0" w:rsidRDefault="00B943F0" w:rsidP="00B943F0">
      <w:pPr>
        <w:numPr>
          <w:ilvl w:val="0"/>
          <w:numId w:val="3"/>
        </w:numPr>
        <w:tabs>
          <w:tab w:val="clear" w:pos="720"/>
          <w:tab w:val="num" w:pos="540"/>
        </w:tabs>
        <w:ind w:left="540" w:hanging="540"/>
        <w:jc w:val="both"/>
        <w:rPr>
          <w:rFonts w:ascii="Tahoma" w:hAnsi="Tahoma" w:cs="Tahoma"/>
          <w:sz w:val="22"/>
          <w:szCs w:val="22"/>
        </w:rPr>
      </w:pPr>
      <w:r w:rsidRPr="00B943F0">
        <w:rPr>
          <w:rFonts w:ascii="Tahoma" w:hAnsi="Tahoma" w:cs="Tahoma"/>
          <w:sz w:val="22"/>
          <w:szCs w:val="22"/>
        </w:rPr>
        <w:t>Rectificar el error material incurrido en el numeral 1 de la parte resolutiva de la Resolución № 867-2011-TC-S4 del 24 de mayo de 2011, en los siguientes términos:</w:t>
      </w:r>
    </w:p>
    <w:p w:rsidR="00B943F0" w:rsidRPr="00B943F0" w:rsidRDefault="00B943F0" w:rsidP="00B943F0">
      <w:pPr>
        <w:rPr>
          <w:rFonts w:ascii="Tahoma" w:hAnsi="Tahoma" w:cs="Tahoma"/>
          <w:sz w:val="22"/>
          <w:szCs w:val="22"/>
        </w:rPr>
      </w:pPr>
    </w:p>
    <w:p w:rsidR="00B943F0" w:rsidRPr="00B943F0" w:rsidRDefault="00B943F0" w:rsidP="00B943F0">
      <w:pPr>
        <w:ind w:left="540"/>
        <w:rPr>
          <w:rFonts w:ascii="Tahoma" w:hAnsi="Tahoma" w:cs="Tahoma"/>
          <w:sz w:val="22"/>
          <w:szCs w:val="22"/>
        </w:rPr>
      </w:pPr>
      <w:r w:rsidRPr="00B943F0">
        <w:rPr>
          <w:rFonts w:ascii="Tahoma" w:hAnsi="Tahoma" w:cs="Tahoma"/>
          <w:sz w:val="22"/>
          <w:szCs w:val="22"/>
        </w:rPr>
        <w:t>Dice:</w:t>
      </w:r>
    </w:p>
    <w:p w:rsidR="00B943F0" w:rsidRPr="00B943F0" w:rsidRDefault="00B943F0" w:rsidP="00B943F0">
      <w:pPr>
        <w:ind w:left="540"/>
        <w:jc w:val="both"/>
        <w:rPr>
          <w:rFonts w:ascii="Tahoma" w:hAnsi="Tahoma" w:cs="Tahoma"/>
          <w:sz w:val="22"/>
          <w:szCs w:val="22"/>
        </w:rPr>
      </w:pPr>
      <w:r w:rsidRPr="00B943F0">
        <w:rPr>
          <w:rFonts w:ascii="Tahoma" w:hAnsi="Tahoma" w:cs="Tahoma"/>
          <w:sz w:val="22"/>
          <w:szCs w:val="22"/>
        </w:rPr>
        <w:t xml:space="preserve">«1. </w:t>
      </w:r>
      <w:r w:rsidRPr="00B943F0">
        <w:rPr>
          <w:rFonts w:ascii="Tahoma" w:hAnsi="Tahoma" w:cs="Tahoma"/>
          <w:i/>
          <w:sz w:val="22"/>
          <w:szCs w:val="22"/>
        </w:rPr>
        <w:t xml:space="preserve">Imponer a la empresa C &amp; Z PLUS ULTRA E.I.R.L. sanción administrativa de inhabilitación temporal por el periodo de diez (10) meses en sus derechos de participar en procesos de selección y contratar con el Estado, por la comisión de la infracción tipificada en el numeral 10) del artículo 294 del Reglamento de la Ley de Contrataciones y Adquisiciones del Estado, aprobado por Decreto Supremo № 084-2004-PCM, la cual entrará en vigencia a partir del sexto día de </w:t>
      </w:r>
      <w:r w:rsidRPr="00B943F0">
        <w:rPr>
          <w:rFonts w:ascii="Tahoma" w:hAnsi="Tahoma" w:cs="Tahoma"/>
          <w:i/>
          <w:sz w:val="22"/>
          <w:szCs w:val="22"/>
          <w:u w:val="single"/>
        </w:rPr>
        <w:t>publicada</w:t>
      </w:r>
      <w:r w:rsidRPr="00B943F0">
        <w:rPr>
          <w:rFonts w:ascii="Tahoma" w:hAnsi="Tahoma" w:cs="Tahoma"/>
          <w:i/>
          <w:sz w:val="22"/>
          <w:szCs w:val="22"/>
        </w:rPr>
        <w:t xml:space="preserve"> la presente Resolución.</w:t>
      </w:r>
      <w:r w:rsidRPr="00B943F0">
        <w:rPr>
          <w:rFonts w:ascii="Tahoma" w:hAnsi="Tahoma" w:cs="Tahoma"/>
          <w:sz w:val="22"/>
          <w:szCs w:val="22"/>
        </w:rPr>
        <w:t>» (</w:t>
      </w:r>
      <w:proofErr w:type="gramStart"/>
      <w:r w:rsidRPr="00B943F0">
        <w:rPr>
          <w:rFonts w:ascii="Tahoma" w:hAnsi="Tahoma" w:cs="Tahoma"/>
          <w:sz w:val="22"/>
          <w:szCs w:val="22"/>
        </w:rPr>
        <w:t>el</w:t>
      </w:r>
      <w:proofErr w:type="gramEnd"/>
      <w:r w:rsidRPr="00B943F0">
        <w:rPr>
          <w:rFonts w:ascii="Tahoma" w:hAnsi="Tahoma" w:cs="Tahoma"/>
          <w:sz w:val="22"/>
          <w:szCs w:val="22"/>
        </w:rPr>
        <w:t xml:space="preserve"> subrayado es nuestro)</w:t>
      </w:r>
      <w:r w:rsidRPr="00B943F0">
        <w:rPr>
          <w:rFonts w:ascii="Tahoma" w:hAnsi="Tahoma" w:cs="Tahoma"/>
          <w:i/>
          <w:sz w:val="22"/>
          <w:szCs w:val="22"/>
        </w:rPr>
        <w:t>.</w:t>
      </w:r>
    </w:p>
    <w:p w:rsidR="00B943F0" w:rsidRPr="00B943F0" w:rsidRDefault="00B943F0" w:rsidP="00B943F0">
      <w:pPr>
        <w:ind w:left="540"/>
        <w:rPr>
          <w:rFonts w:ascii="Tahoma" w:hAnsi="Tahoma" w:cs="Tahoma"/>
          <w:sz w:val="22"/>
          <w:szCs w:val="22"/>
        </w:rPr>
      </w:pPr>
    </w:p>
    <w:p w:rsidR="00B943F0" w:rsidRPr="00B943F0" w:rsidRDefault="00B943F0" w:rsidP="00B943F0">
      <w:pPr>
        <w:ind w:left="540"/>
        <w:rPr>
          <w:rFonts w:ascii="Tahoma" w:hAnsi="Tahoma" w:cs="Tahoma"/>
          <w:sz w:val="22"/>
          <w:szCs w:val="22"/>
        </w:rPr>
      </w:pPr>
    </w:p>
    <w:p w:rsidR="00B943F0" w:rsidRPr="00B943F0" w:rsidRDefault="00B943F0" w:rsidP="00B943F0">
      <w:pPr>
        <w:ind w:left="540"/>
        <w:rPr>
          <w:rFonts w:ascii="Tahoma" w:hAnsi="Tahoma" w:cs="Tahoma"/>
          <w:sz w:val="22"/>
          <w:szCs w:val="22"/>
        </w:rPr>
      </w:pPr>
      <w:r w:rsidRPr="00B943F0">
        <w:rPr>
          <w:rFonts w:ascii="Tahoma" w:hAnsi="Tahoma" w:cs="Tahoma"/>
          <w:sz w:val="22"/>
          <w:szCs w:val="22"/>
        </w:rPr>
        <w:t>Debe decir:</w:t>
      </w:r>
    </w:p>
    <w:p w:rsidR="00B943F0" w:rsidRPr="00B943F0" w:rsidRDefault="00B943F0" w:rsidP="00B943F0">
      <w:pPr>
        <w:ind w:left="540"/>
        <w:jc w:val="both"/>
        <w:rPr>
          <w:rFonts w:ascii="Tahoma" w:hAnsi="Tahoma" w:cs="Tahoma"/>
          <w:sz w:val="22"/>
          <w:szCs w:val="22"/>
        </w:rPr>
      </w:pPr>
      <w:r w:rsidRPr="00B943F0">
        <w:rPr>
          <w:rFonts w:ascii="Tahoma" w:hAnsi="Tahoma" w:cs="Tahoma"/>
          <w:sz w:val="22"/>
          <w:szCs w:val="22"/>
        </w:rPr>
        <w:t xml:space="preserve">«1. </w:t>
      </w:r>
      <w:r w:rsidRPr="00B943F0">
        <w:rPr>
          <w:rFonts w:ascii="Tahoma" w:hAnsi="Tahoma" w:cs="Tahoma"/>
          <w:i/>
          <w:sz w:val="22"/>
          <w:szCs w:val="22"/>
        </w:rPr>
        <w:t xml:space="preserve">Imponer a la empresa C &amp; Z PLUS ULTRA E.I.R.L. sanción administrativa de inhabilitación temporal por el periodo de diez (10) meses en sus derechos de participar en procesos de selección y contratar con el Estado, por la comisión de la infracción tipificada en el numeral 10) del artículo 294 del Reglamento de la Ley de Contrataciones y Adquisiciones del Estado, aprobado por Decreto </w:t>
      </w:r>
      <w:r w:rsidRPr="00B943F0">
        <w:rPr>
          <w:rFonts w:ascii="Tahoma" w:hAnsi="Tahoma" w:cs="Tahoma"/>
          <w:i/>
          <w:sz w:val="22"/>
          <w:szCs w:val="22"/>
        </w:rPr>
        <w:lastRenderedPageBreak/>
        <w:t>Supremo № 084-2004-PCM, la cual entrará en vigencia a partir del sexto día de notificada la presente Resolución.</w:t>
      </w:r>
      <w:r w:rsidRPr="00B943F0">
        <w:rPr>
          <w:rFonts w:ascii="Tahoma" w:hAnsi="Tahoma" w:cs="Tahoma"/>
          <w:sz w:val="22"/>
          <w:szCs w:val="22"/>
        </w:rPr>
        <w:t>»</w:t>
      </w:r>
    </w:p>
    <w:p w:rsidR="00B943F0" w:rsidRPr="00B943F0" w:rsidRDefault="00B943F0" w:rsidP="00B943F0">
      <w:pPr>
        <w:rPr>
          <w:rFonts w:ascii="Tahoma" w:hAnsi="Tahoma" w:cs="Tahoma"/>
          <w:sz w:val="22"/>
          <w:szCs w:val="22"/>
        </w:rPr>
      </w:pPr>
    </w:p>
    <w:p w:rsidR="00B943F0" w:rsidRPr="00B943F0" w:rsidRDefault="00B943F0" w:rsidP="00B943F0">
      <w:pPr>
        <w:numPr>
          <w:ilvl w:val="0"/>
          <w:numId w:val="3"/>
        </w:numPr>
        <w:tabs>
          <w:tab w:val="clear" w:pos="720"/>
          <w:tab w:val="num" w:pos="540"/>
        </w:tabs>
        <w:ind w:left="540" w:hanging="540"/>
        <w:jc w:val="both"/>
        <w:rPr>
          <w:rFonts w:ascii="Tahoma" w:hAnsi="Tahoma" w:cs="Tahoma"/>
          <w:i/>
          <w:sz w:val="22"/>
          <w:szCs w:val="22"/>
        </w:rPr>
      </w:pPr>
      <w:r w:rsidRPr="00B943F0">
        <w:rPr>
          <w:rFonts w:ascii="Tahoma" w:hAnsi="Tahoma" w:cs="Tahoma"/>
          <w:sz w:val="22"/>
          <w:szCs w:val="22"/>
        </w:rPr>
        <w:t>Dejar subsistente en sus demás extremos Resolución № 867-2011-TC-S4 del 24 de mayo de 2011.</w:t>
      </w:r>
    </w:p>
    <w:p w:rsidR="00B943F0" w:rsidRPr="00B943F0" w:rsidRDefault="00B943F0" w:rsidP="00B943F0">
      <w:pPr>
        <w:tabs>
          <w:tab w:val="left" w:pos="0"/>
        </w:tabs>
        <w:ind w:left="567"/>
        <w:jc w:val="both"/>
        <w:rPr>
          <w:rFonts w:ascii="Tahoma" w:hAnsi="Tahoma" w:cs="Tahoma"/>
          <w:sz w:val="22"/>
          <w:szCs w:val="22"/>
        </w:rPr>
      </w:pPr>
    </w:p>
    <w:p w:rsidR="00B943F0" w:rsidRPr="00B943F0" w:rsidRDefault="00B943F0" w:rsidP="00B943F0">
      <w:pPr>
        <w:jc w:val="both"/>
        <w:rPr>
          <w:rFonts w:ascii="Tahoma" w:hAnsi="Tahoma" w:cs="Tahoma"/>
          <w:sz w:val="22"/>
          <w:szCs w:val="22"/>
        </w:rPr>
      </w:pPr>
      <w:r w:rsidRPr="00B943F0">
        <w:rPr>
          <w:rFonts w:ascii="Tahoma" w:hAnsi="Tahoma" w:cs="Tahoma"/>
          <w:sz w:val="22"/>
          <w:szCs w:val="22"/>
        </w:rPr>
        <w:t>Regístrese, comuníquese y publíquese.</w:t>
      </w:r>
    </w:p>
    <w:p w:rsidR="00B943F0" w:rsidRPr="00B943F0" w:rsidRDefault="00B943F0" w:rsidP="00B943F0">
      <w:pPr>
        <w:jc w:val="both"/>
        <w:rPr>
          <w:rFonts w:ascii="Tahoma" w:hAnsi="Tahoma" w:cs="Tahoma"/>
          <w:sz w:val="22"/>
          <w:szCs w:val="22"/>
        </w:rPr>
      </w:pPr>
    </w:p>
    <w:p w:rsidR="00B943F0" w:rsidRPr="00B943F0" w:rsidRDefault="00B943F0" w:rsidP="00B943F0">
      <w:pPr>
        <w:rPr>
          <w:rFonts w:ascii="Tahoma" w:hAnsi="Tahoma" w:cs="Tahoma"/>
          <w:sz w:val="22"/>
          <w:szCs w:val="22"/>
        </w:rPr>
      </w:pPr>
    </w:p>
    <w:p w:rsidR="00B943F0" w:rsidRPr="00B943F0" w:rsidRDefault="00B943F0" w:rsidP="00B943F0">
      <w:pPr>
        <w:rPr>
          <w:rFonts w:ascii="Tahoma" w:hAnsi="Tahoma" w:cs="Tahoma"/>
          <w:sz w:val="22"/>
          <w:szCs w:val="22"/>
        </w:rPr>
      </w:pPr>
    </w:p>
    <w:p w:rsidR="00B943F0" w:rsidRPr="00B943F0" w:rsidRDefault="00B943F0" w:rsidP="00B943F0">
      <w:pPr>
        <w:rPr>
          <w:rFonts w:ascii="Tahoma" w:hAnsi="Tahoma" w:cs="Tahoma"/>
          <w:sz w:val="22"/>
          <w:szCs w:val="22"/>
        </w:rPr>
      </w:pPr>
    </w:p>
    <w:p w:rsidR="00B943F0" w:rsidRPr="00B943F0" w:rsidRDefault="00B943F0" w:rsidP="00B943F0">
      <w:pPr>
        <w:rPr>
          <w:rFonts w:ascii="Tahoma" w:hAnsi="Tahoma" w:cs="Tahoma"/>
          <w:sz w:val="22"/>
          <w:szCs w:val="22"/>
        </w:rPr>
      </w:pPr>
    </w:p>
    <w:p w:rsidR="00B943F0" w:rsidRPr="00B943F0" w:rsidRDefault="00B943F0" w:rsidP="00B943F0">
      <w:pPr>
        <w:rPr>
          <w:rFonts w:ascii="Tahoma" w:hAnsi="Tahoma" w:cs="Tahoma"/>
          <w:sz w:val="22"/>
          <w:szCs w:val="22"/>
        </w:rPr>
      </w:pPr>
    </w:p>
    <w:p w:rsidR="00B943F0" w:rsidRPr="00B943F0" w:rsidRDefault="00B943F0" w:rsidP="00B943F0">
      <w:pPr>
        <w:jc w:val="center"/>
        <w:rPr>
          <w:rFonts w:ascii="Tahoma" w:hAnsi="Tahoma" w:cs="Tahoma"/>
          <w:b/>
          <w:sz w:val="22"/>
          <w:szCs w:val="22"/>
        </w:rPr>
      </w:pPr>
      <w:r w:rsidRPr="00B943F0">
        <w:rPr>
          <w:rFonts w:ascii="Tahoma" w:hAnsi="Tahoma" w:cs="Tahoma"/>
          <w:b/>
          <w:sz w:val="22"/>
          <w:szCs w:val="22"/>
        </w:rPr>
        <w:t>PRESIDENTE</w:t>
      </w:r>
    </w:p>
    <w:p w:rsidR="00B943F0" w:rsidRPr="00B943F0" w:rsidRDefault="00B943F0" w:rsidP="00B943F0">
      <w:pPr>
        <w:jc w:val="center"/>
        <w:rPr>
          <w:rFonts w:ascii="Tahoma" w:hAnsi="Tahoma" w:cs="Tahoma"/>
          <w:b/>
          <w:sz w:val="22"/>
          <w:szCs w:val="22"/>
        </w:rPr>
      </w:pPr>
    </w:p>
    <w:p w:rsidR="00B943F0" w:rsidRPr="00B943F0" w:rsidRDefault="00B943F0" w:rsidP="00B943F0">
      <w:pPr>
        <w:jc w:val="center"/>
        <w:rPr>
          <w:rFonts w:ascii="Tahoma" w:hAnsi="Tahoma" w:cs="Tahoma"/>
          <w:b/>
          <w:sz w:val="22"/>
          <w:szCs w:val="22"/>
        </w:rPr>
      </w:pPr>
    </w:p>
    <w:p w:rsidR="00B943F0" w:rsidRPr="00B943F0" w:rsidRDefault="00B943F0" w:rsidP="00B943F0">
      <w:pPr>
        <w:jc w:val="center"/>
        <w:rPr>
          <w:rFonts w:ascii="Tahoma" w:hAnsi="Tahoma" w:cs="Tahoma"/>
          <w:b/>
          <w:sz w:val="22"/>
          <w:szCs w:val="22"/>
        </w:rPr>
      </w:pPr>
    </w:p>
    <w:p w:rsidR="00B943F0" w:rsidRPr="00B943F0" w:rsidRDefault="00B943F0" w:rsidP="00B943F0">
      <w:pPr>
        <w:jc w:val="center"/>
        <w:rPr>
          <w:rFonts w:ascii="Tahoma" w:hAnsi="Tahoma" w:cs="Tahoma"/>
          <w:b/>
          <w:sz w:val="22"/>
          <w:szCs w:val="22"/>
        </w:rPr>
      </w:pPr>
    </w:p>
    <w:p w:rsidR="00B943F0" w:rsidRPr="00B943F0" w:rsidRDefault="00B943F0" w:rsidP="00B943F0">
      <w:pPr>
        <w:jc w:val="center"/>
        <w:rPr>
          <w:rFonts w:ascii="Tahoma" w:hAnsi="Tahoma" w:cs="Tahoma"/>
          <w:b/>
          <w:sz w:val="22"/>
          <w:szCs w:val="22"/>
        </w:rPr>
      </w:pPr>
    </w:p>
    <w:p w:rsidR="00B943F0" w:rsidRPr="00B943F0" w:rsidRDefault="00B943F0" w:rsidP="00B943F0">
      <w:pPr>
        <w:jc w:val="center"/>
        <w:rPr>
          <w:rFonts w:ascii="Tahoma" w:hAnsi="Tahoma" w:cs="Tahoma"/>
          <w:b/>
          <w:sz w:val="22"/>
          <w:szCs w:val="22"/>
        </w:rPr>
      </w:pPr>
    </w:p>
    <w:p w:rsidR="00B943F0" w:rsidRPr="00B943F0" w:rsidRDefault="00B943F0" w:rsidP="00B943F0">
      <w:pPr>
        <w:jc w:val="center"/>
        <w:rPr>
          <w:rFonts w:ascii="Tahoma" w:hAnsi="Tahoma" w:cs="Tahoma"/>
          <w:b/>
          <w:sz w:val="22"/>
          <w:szCs w:val="22"/>
        </w:rPr>
      </w:pPr>
      <w:r w:rsidRPr="00B943F0">
        <w:rPr>
          <w:rFonts w:ascii="Tahoma" w:hAnsi="Tahoma" w:cs="Tahoma"/>
          <w:b/>
          <w:sz w:val="22"/>
          <w:szCs w:val="22"/>
        </w:rPr>
        <w:t>VOCAL</w:t>
      </w:r>
      <w:r w:rsidRPr="00B943F0">
        <w:rPr>
          <w:rFonts w:ascii="Tahoma" w:hAnsi="Tahoma" w:cs="Tahoma"/>
          <w:b/>
          <w:sz w:val="22"/>
          <w:szCs w:val="22"/>
        </w:rPr>
        <w:tab/>
      </w:r>
      <w:r w:rsidRPr="00B943F0">
        <w:rPr>
          <w:rFonts w:ascii="Tahoma" w:hAnsi="Tahoma" w:cs="Tahoma"/>
          <w:b/>
          <w:sz w:val="22"/>
          <w:szCs w:val="22"/>
        </w:rPr>
        <w:tab/>
      </w:r>
      <w:r w:rsidRPr="00B943F0">
        <w:rPr>
          <w:rFonts w:ascii="Tahoma" w:hAnsi="Tahoma" w:cs="Tahoma"/>
          <w:b/>
          <w:sz w:val="22"/>
          <w:szCs w:val="22"/>
        </w:rPr>
        <w:tab/>
      </w:r>
      <w:r w:rsidRPr="00B943F0">
        <w:rPr>
          <w:rFonts w:ascii="Tahoma" w:hAnsi="Tahoma" w:cs="Tahoma"/>
          <w:b/>
          <w:sz w:val="22"/>
          <w:szCs w:val="22"/>
        </w:rPr>
        <w:tab/>
      </w:r>
      <w:r w:rsidRPr="00B943F0">
        <w:rPr>
          <w:rFonts w:ascii="Tahoma" w:hAnsi="Tahoma" w:cs="Tahoma"/>
          <w:b/>
          <w:sz w:val="22"/>
          <w:szCs w:val="22"/>
        </w:rPr>
        <w:tab/>
      </w:r>
      <w:r w:rsidRPr="00B943F0">
        <w:rPr>
          <w:rFonts w:ascii="Tahoma" w:hAnsi="Tahoma" w:cs="Tahoma"/>
          <w:b/>
          <w:sz w:val="22"/>
          <w:szCs w:val="22"/>
        </w:rPr>
        <w:tab/>
      </w:r>
      <w:r w:rsidRPr="00B943F0">
        <w:rPr>
          <w:rFonts w:ascii="Tahoma" w:hAnsi="Tahoma" w:cs="Tahoma"/>
          <w:b/>
          <w:sz w:val="22"/>
          <w:szCs w:val="22"/>
        </w:rPr>
        <w:tab/>
        <w:t>VOCAL</w:t>
      </w:r>
    </w:p>
    <w:p w:rsidR="00B943F0" w:rsidRPr="00B943F0" w:rsidRDefault="00B943F0" w:rsidP="00B943F0">
      <w:pPr>
        <w:jc w:val="both"/>
        <w:rPr>
          <w:rFonts w:ascii="Tahoma" w:hAnsi="Tahoma" w:cs="Tahoma"/>
          <w:sz w:val="22"/>
          <w:szCs w:val="22"/>
          <w:lang w:val="pt-BR"/>
        </w:rPr>
      </w:pPr>
    </w:p>
    <w:p w:rsidR="00B943F0" w:rsidRPr="00B943F0" w:rsidRDefault="00B943F0" w:rsidP="00B943F0">
      <w:pPr>
        <w:jc w:val="both"/>
        <w:rPr>
          <w:rFonts w:ascii="Tahoma" w:hAnsi="Tahoma" w:cs="Tahoma"/>
          <w:sz w:val="22"/>
          <w:szCs w:val="22"/>
          <w:lang w:val="pt-BR"/>
        </w:rPr>
      </w:pPr>
    </w:p>
    <w:p w:rsidR="00B943F0" w:rsidRPr="00B943F0" w:rsidRDefault="00B943F0" w:rsidP="00B943F0">
      <w:pPr>
        <w:jc w:val="both"/>
        <w:rPr>
          <w:rFonts w:ascii="Tahoma" w:hAnsi="Tahoma" w:cs="Tahoma"/>
          <w:sz w:val="22"/>
          <w:szCs w:val="22"/>
          <w:lang w:val="pt-BR"/>
        </w:rPr>
      </w:pPr>
    </w:p>
    <w:p w:rsidR="00B943F0" w:rsidRPr="00B943F0" w:rsidRDefault="00B943F0" w:rsidP="00B943F0">
      <w:pPr>
        <w:jc w:val="both"/>
        <w:rPr>
          <w:rFonts w:ascii="Tahoma" w:hAnsi="Tahoma" w:cs="Tahoma"/>
          <w:sz w:val="22"/>
          <w:szCs w:val="22"/>
          <w:lang w:val="pt-BR"/>
        </w:rPr>
      </w:pPr>
    </w:p>
    <w:p w:rsidR="00B943F0" w:rsidRPr="00B943F0" w:rsidRDefault="00B943F0" w:rsidP="00B943F0">
      <w:pPr>
        <w:jc w:val="both"/>
        <w:rPr>
          <w:rFonts w:ascii="Tahoma" w:hAnsi="Tahoma" w:cs="Tahoma"/>
          <w:sz w:val="22"/>
          <w:szCs w:val="22"/>
          <w:lang w:val="pt-BR"/>
        </w:rPr>
      </w:pPr>
    </w:p>
    <w:p w:rsidR="00B943F0" w:rsidRPr="00B943F0" w:rsidRDefault="00B943F0" w:rsidP="00B943F0">
      <w:pPr>
        <w:jc w:val="both"/>
        <w:rPr>
          <w:rFonts w:ascii="Tahoma" w:hAnsi="Tahoma" w:cs="Tahoma"/>
          <w:sz w:val="22"/>
          <w:szCs w:val="22"/>
          <w:lang w:val="pt-BR"/>
        </w:rPr>
      </w:pPr>
      <w:proofErr w:type="gramStart"/>
      <w:r w:rsidRPr="00B943F0">
        <w:rPr>
          <w:rFonts w:ascii="Tahoma" w:hAnsi="Tahoma" w:cs="Tahoma"/>
          <w:sz w:val="22"/>
          <w:szCs w:val="22"/>
          <w:lang w:val="pt-BR"/>
        </w:rPr>
        <w:t>ss.</w:t>
      </w:r>
      <w:proofErr w:type="gramEnd"/>
    </w:p>
    <w:p w:rsidR="00B943F0" w:rsidRPr="00B943F0" w:rsidRDefault="00B943F0" w:rsidP="00B943F0">
      <w:pPr>
        <w:pStyle w:val="Textoindependiente21"/>
        <w:tabs>
          <w:tab w:val="left" w:pos="7740"/>
        </w:tabs>
        <w:rPr>
          <w:rFonts w:cs="Tahoma"/>
          <w:szCs w:val="22"/>
        </w:rPr>
      </w:pPr>
      <w:r w:rsidRPr="00B943F0">
        <w:rPr>
          <w:rFonts w:cs="Tahoma"/>
          <w:szCs w:val="22"/>
        </w:rPr>
        <w:t>Silva Dávila.</w:t>
      </w:r>
    </w:p>
    <w:p w:rsidR="00B943F0" w:rsidRPr="00B943F0" w:rsidRDefault="00B943F0" w:rsidP="00B943F0">
      <w:pPr>
        <w:pStyle w:val="Textoindependiente21"/>
        <w:tabs>
          <w:tab w:val="left" w:pos="7740"/>
        </w:tabs>
        <w:rPr>
          <w:rFonts w:cs="Tahoma"/>
          <w:szCs w:val="22"/>
        </w:rPr>
      </w:pPr>
      <w:r w:rsidRPr="00B943F0">
        <w:rPr>
          <w:rFonts w:cs="Tahoma"/>
          <w:szCs w:val="22"/>
        </w:rPr>
        <w:t xml:space="preserve">Zumaeta </w:t>
      </w:r>
      <w:proofErr w:type="spellStart"/>
      <w:r w:rsidRPr="00B943F0">
        <w:rPr>
          <w:rFonts w:cs="Tahoma"/>
          <w:szCs w:val="22"/>
        </w:rPr>
        <w:t>Giudichi</w:t>
      </w:r>
      <w:proofErr w:type="spellEnd"/>
      <w:r w:rsidRPr="00B943F0">
        <w:rPr>
          <w:rFonts w:cs="Tahoma"/>
          <w:szCs w:val="22"/>
        </w:rPr>
        <w:t>.</w:t>
      </w:r>
    </w:p>
    <w:p w:rsidR="00120ADA" w:rsidRPr="00B943F0" w:rsidRDefault="00B943F0" w:rsidP="00B943F0">
      <w:pPr>
        <w:pStyle w:val="Textoindependiente21"/>
        <w:tabs>
          <w:tab w:val="left" w:pos="7740"/>
        </w:tabs>
        <w:rPr>
          <w:rFonts w:cs="Tahoma"/>
          <w:szCs w:val="22"/>
        </w:rPr>
      </w:pPr>
      <w:r w:rsidRPr="00B943F0">
        <w:rPr>
          <w:rFonts w:cs="Tahoma"/>
          <w:szCs w:val="22"/>
        </w:rPr>
        <w:t>Salazar Díaz.</w:t>
      </w:r>
    </w:p>
    <w:sectPr w:rsidR="00120ADA" w:rsidRPr="00B943F0" w:rsidSect="00B728B8">
      <w:headerReference w:type="default" r:id="rId7"/>
      <w:footerReference w:type="default" r:id="rId8"/>
      <w:pgSz w:w="11906" w:h="16838"/>
      <w:pgMar w:top="3774" w:right="1826" w:bottom="1134" w:left="1701" w:header="709" w:footer="6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26BA" w:rsidRDefault="009826BA" w:rsidP="009826BA">
      <w:r>
        <w:separator/>
      </w:r>
    </w:p>
  </w:endnote>
  <w:endnote w:type="continuationSeparator" w:id="1">
    <w:p w:rsidR="009826BA" w:rsidRDefault="009826BA" w:rsidP="009826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7193"/>
      <w:docPartObj>
        <w:docPartGallery w:val="Page Numbers (Bottom of Page)"/>
        <w:docPartUnique/>
      </w:docPartObj>
    </w:sdtPr>
    <w:sdtContent>
      <w:sdt>
        <w:sdtPr>
          <w:id w:val="216747541"/>
          <w:docPartObj>
            <w:docPartGallery w:val="Page Numbers (Top of Page)"/>
            <w:docPartUnique/>
          </w:docPartObj>
        </w:sdtPr>
        <w:sdtContent>
          <w:p w:rsidR="00B728B8" w:rsidRDefault="00BB59BA">
            <w:pPr>
              <w:pStyle w:val="Piedepgina"/>
              <w:jc w:val="center"/>
            </w:pPr>
            <w:r>
              <w:t xml:space="preserve">Página </w:t>
            </w:r>
            <w:r w:rsidR="009826BA">
              <w:rPr>
                <w:b/>
              </w:rPr>
              <w:fldChar w:fldCharType="begin"/>
            </w:r>
            <w:r>
              <w:rPr>
                <w:b/>
              </w:rPr>
              <w:instrText>PAGE</w:instrText>
            </w:r>
            <w:r w:rsidR="009826BA">
              <w:rPr>
                <w:b/>
              </w:rPr>
              <w:fldChar w:fldCharType="separate"/>
            </w:r>
            <w:r w:rsidR="00E4324A">
              <w:rPr>
                <w:b/>
                <w:noProof/>
              </w:rPr>
              <w:t>1</w:t>
            </w:r>
            <w:r w:rsidR="009826BA">
              <w:rPr>
                <w:b/>
              </w:rPr>
              <w:fldChar w:fldCharType="end"/>
            </w:r>
            <w:r>
              <w:t xml:space="preserve"> de </w:t>
            </w:r>
            <w:r w:rsidR="009826BA">
              <w:rPr>
                <w:b/>
              </w:rPr>
              <w:fldChar w:fldCharType="begin"/>
            </w:r>
            <w:r>
              <w:rPr>
                <w:b/>
              </w:rPr>
              <w:instrText>NUMPAGES</w:instrText>
            </w:r>
            <w:r w:rsidR="009826BA">
              <w:rPr>
                <w:b/>
              </w:rPr>
              <w:fldChar w:fldCharType="separate"/>
            </w:r>
            <w:r w:rsidR="00E4324A">
              <w:rPr>
                <w:b/>
                <w:noProof/>
              </w:rPr>
              <w:t>3</w:t>
            </w:r>
            <w:r w:rsidR="009826BA">
              <w:rPr>
                <w:b/>
              </w:rPr>
              <w:fldChar w:fldCharType="end"/>
            </w:r>
          </w:p>
        </w:sdtContent>
      </w:sdt>
    </w:sdtContent>
  </w:sdt>
  <w:p w:rsidR="00B728B8" w:rsidRPr="00F8574C" w:rsidRDefault="00E4324A" w:rsidP="00B728B8">
    <w:pPr>
      <w:pStyle w:val="Piedepgina"/>
      <w:tabs>
        <w:tab w:val="left" w:pos="3510"/>
        <w:tab w:val="center" w:pos="4189"/>
      </w:tabs>
      <w:rPr>
        <w:rFonts w:ascii="Tahoma" w:hAnsi="Tahoma" w:cs="Tahoma"/>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26BA" w:rsidRDefault="009826BA" w:rsidP="009826BA">
      <w:r>
        <w:separator/>
      </w:r>
    </w:p>
  </w:footnote>
  <w:footnote w:type="continuationSeparator" w:id="1">
    <w:p w:rsidR="009826BA" w:rsidRDefault="009826BA" w:rsidP="009826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24A" w:rsidRPr="00051E00" w:rsidRDefault="00E4324A" w:rsidP="00051E00">
    <w:pPr>
      <w:pStyle w:val="NormalWeb"/>
      <w:jc w:val="right"/>
      <w:rPr>
        <w:rFonts w:ascii="Arial Narrow" w:hAnsi="Arial Narrow"/>
        <w:b/>
        <w:bCs/>
        <w:sz w:val="20"/>
        <w:szCs w:val="20"/>
      </w:rPr>
    </w:pPr>
    <w:r>
      <w:rPr>
        <w:rFonts w:ascii="Arial Narrow" w:hAnsi="Arial Narrow"/>
        <w:b/>
        <w:bCs/>
        <w:noProof/>
        <w:sz w:val="20"/>
        <w:szCs w:val="20"/>
      </w:rPr>
      <w:drawing>
        <wp:anchor distT="0" distB="0" distL="114300" distR="114300" simplePos="0" relativeHeight="251659264" behindDoc="0" locked="0" layoutInCell="1" allowOverlap="1">
          <wp:simplePos x="0" y="0"/>
          <wp:positionH relativeFrom="column">
            <wp:posOffset>-556260</wp:posOffset>
          </wp:positionH>
          <wp:positionV relativeFrom="paragraph">
            <wp:posOffset>35560</wp:posOffset>
          </wp:positionV>
          <wp:extent cx="6524625" cy="600075"/>
          <wp:effectExtent l="19050" t="0" r="9525" b="0"/>
          <wp:wrapSquare wrapText="bothSides"/>
          <wp:docPr id="2" name="Imagen 2"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nbrete"/>
                  <pic:cNvPicPr>
                    <a:picLocks noChangeAspect="1" noChangeArrowheads="1"/>
                  </pic:cNvPicPr>
                </pic:nvPicPr>
                <pic:blipFill>
                  <a:blip r:embed="rId1" cstate="print"/>
                  <a:srcRect/>
                  <a:stretch>
                    <a:fillRect/>
                  </a:stretch>
                </pic:blipFill>
                <pic:spPr bwMode="auto">
                  <a:xfrm>
                    <a:off x="0" y="0"/>
                    <a:ext cx="6524625" cy="600075"/>
                  </a:xfrm>
                  <a:prstGeom prst="rect">
                    <a:avLst/>
                  </a:prstGeom>
                  <a:noFill/>
                </pic:spPr>
              </pic:pic>
            </a:graphicData>
          </a:graphic>
        </wp:anchor>
      </w:drawing>
    </w:r>
  </w:p>
  <w:p w:rsidR="00E4324A" w:rsidRDefault="00E4324A" w:rsidP="00051E00">
    <w:pPr>
      <w:pStyle w:val="NormalWeb"/>
      <w:jc w:val="center"/>
      <w:rPr>
        <w:rFonts w:ascii="Monotype Corsiva" w:hAnsi="Monotype Corsiva"/>
        <w:b/>
        <w:sz w:val="44"/>
        <w:szCs w:val="44"/>
      </w:rPr>
    </w:pPr>
  </w:p>
  <w:p w:rsidR="00E4324A" w:rsidRDefault="00E4324A" w:rsidP="00051E00">
    <w:pPr>
      <w:pStyle w:val="NormalWeb"/>
      <w:jc w:val="center"/>
      <w:rPr>
        <w:rFonts w:ascii="Monotype Corsiva" w:hAnsi="Monotype Corsiva"/>
        <w:b/>
        <w:sz w:val="44"/>
        <w:szCs w:val="44"/>
      </w:rPr>
    </w:pPr>
  </w:p>
  <w:p w:rsidR="00E4324A" w:rsidRDefault="00E4324A" w:rsidP="00051E00">
    <w:pPr>
      <w:pStyle w:val="NormalWeb"/>
      <w:jc w:val="center"/>
      <w:rPr>
        <w:rFonts w:ascii="Monotype Corsiva" w:hAnsi="Monotype Corsiva"/>
        <w:b/>
        <w:sz w:val="44"/>
        <w:szCs w:val="44"/>
      </w:rPr>
    </w:pPr>
  </w:p>
  <w:p w:rsidR="00E4324A" w:rsidRPr="00051E00" w:rsidRDefault="00E4324A" w:rsidP="00051E00">
    <w:pPr>
      <w:pStyle w:val="NormalWeb"/>
      <w:jc w:val="center"/>
      <w:rPr>
        <w:rFonts w:ascii="Arial Narrow" w:hAnsi="Arial Narrow"/>
        <w:b/>
        <w:bCs/>
        <w:sz w:val="20"/>
        <w:szCs w:val="20"/>
      </w:rPr>
    </w:pPr>
    <w:r w:rsidRPr="00051E00">
      <w:rPr>
        <w:rFonts w:ascii="Monotype Corsiva" w:hAnsi="Monotype Corsiva"/>
        <w:b/>
        <w:sz w:val="44"/>
        <w:szCs w:val="44"/>
      </w:rPr>
      <w:t xml:space="preserve">Resolución Nº   </w:t>
    </w:r>
    <w:r>
      <w:rPr>
        <w:rFonts w:ascii="Tahoma" w:hAnsi="Tahoma" w:cs="Tahoma"/>
        <w:b/>
        <w:sz w:val="44"/>
        <w:szCs w:val="44"/>
      </w:rPr>
      <w:t>1075</w:t>
    </w:r>
    <w:r w:rsidRPr="00051E00">
      <w:rPr>
        <w:rFonts w:ascii="Tahoma" w:hAnsi="Tahoma" w:cs="Tahoma"/>
        <w:b/>
        <w:sz w:val="44"/>
        <w:szCs w:val="44"/>
      </w:rPr>
      <w:t>-2011-TC-S4</w:t>
    </w:r>
  </w:p>
  <w:p w:rsidR="00E4324A" w:rsidRDefault="00E4324A">
    <w:pPr>
      <w:pStyle w:val="Encabezado"/>
    </w:pPr>
  </w:p>
  <w:p w:rsidR="00E4324A" w:rsidRDefault="00E4324A">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10103"/>
    <w:multiLevelType w:val="hybridMultilevel"/>
    <w:tmpl w:val="426A6B1C"/>
    <w:lvl w:ilvl="0" w:tplc="AD7639CC">
      <w:start w:val="1"/>
      <w:numFmt w:val="decimal"/>
      <w:lvlText w:val="%1."/>
      <w:lvlJc w:val="left"/>
      <w:pPr>
        <w:tabs>
          <w:tab w:val="num" w:pos="360"/>
        </w:tabs>
        <w:ind w:left="360" w:hanging="360"/>
      </w:pPr>
      <w:rPr>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6441A8F"/>
    <w:multiLevelType w:val="hybridMultilevel"/>
    <w:tmpl w:val="3D0673B4"/>
    <w:lvl w:ilvl="0" w:tplc="4B903FE0">
      <w:start w:val="1"/>
      <w:numFmt w:val="decimal"/>
      <w:lvlText w:val="%1."/>
      <w:lvlJc w:val="left"/>
      <w:pPr>
        <w:tabs>
          <w:tab w:val="num" w:pos="720"/>
        </w:tabs>
        <w:ind w:left="72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52DF76D8"/>
    <w:multiLevelType w:val="hybridMultilevel"/>
    <w:tmpl w:val="596E500E"/>
    <w:lvl w:ilvl="0" w:tplc="8DF22326">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B943F0"/>
    <w:rsid w:val="000F13FD"/>
    <w:rsid w:val="00120ADA"/>
    <w:rsid w:val="00313470"/>
    <w:rsid w:val="009826BA"/>
    <w:rsid w:val="00B61F58"/>
    <w:rsid w:val="00B943F0"/>
    <w:rsid w:val="00BB59BA"/>
    <w:rsid w:val="00E4324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heme="minorHAnsi" w:hAnsi="Tahoma" w:cs="Tahoma"/>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3F0"/>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uiPriority w:val="9"/>
    <w:qFormat/>
    <w:rsid w:val="00B943F0"/>
    <w:pPr>
      <w:keepNext/>
      <w:spacing w:before="240" w:after="60"/>
      <w:outlineLvl w:val="0"/>
    </w:pPr>
    <w:rPr>
      <w:rFonts w:ascii="Cambria" w:hAnsi="Cambria"/>
      <w:b/>
      <w:bCs/>
      <w:kern w:val="32"/>
      <w:sz w:val="32"/>
      <w:szCs w:val="32"/>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943F0"/>
    <w:pPr>
      <w:ind w:left="708"/>
    </w:pPr>
  </w:style>
  <w:style w:type="paragraph" w:styleId="Piedepgina">
    <w:name w:val="footer"/>
    <w:basedOn w:val="Normal"/>
    <w:link w:val="PiedepginaCar"/>
    <w:uiPriority w:val="99"/>
    <w:rsid w:val="00B943F0"/>
    <w:pPr>
      <w:tabs>
        <w:tab w:val="center" w:pos="4252"/>
        <w:tab w:val="right" w:pos="8504"/>
      </w:tabs>
    </w:pPr>
  </w:style>
  <w:style w:type="character" w:customStyle="1" w:styleId="PiedepginaCar">
    <w:name w:val="Pie de página Car"/>
    <w:basedOn w:val="Fuentedeprrafopredeter"/>
    <w:link w:val="Piedepgina"/>
    <w:uiPriority w:val="99"/>
    <w:rsid w:val="00B943F0"/>
    <w:rPr>
      <w:rFonts w:ascii="Times New Roman" w:eastAsia="Times New Roman" w:hAnsi="Times New Roman" w:cs="Times New Roman"/>
      <w:sz w:val="24"/>
      <w:szCs w:val="24"/>
      <w:lang w:eastAsia="es-ES"/>
    </w:rPr>
  </w:style>
  <w:style w:type="paragraph" w:customStyle="1" w:styleId="Textoindependiente21">
    <w:name w:val="Texto independiente 21"/>
    <w:basedOn w:val="Normal"/>
    <w:rsid w:val="00B943F0"/>
    <w:pPr>
      <w:jc w:val="both"/>
    </w:pPr>
    <w:rPr>
      <w:rFonts w:ascii="Tahoma" w:hAnsi="Tahoma"/>
      <w:sz w:val="22"/>
      <w:szCs w:val="20"/>
    </w:rPr>
  </w:style>
  <w:style w:type="paragraph" w:styleId="Textoindependiente3">
    <w:name w:val="Body Text 3"/>
    <w:basedOn w:val="Normal"/>
    <w:link w:val="Textoindependiente3Car"/>
    <w:rsid w:val="00B943F0"/>
    <w:pPr>
      <w:jc w:val="center"/>
    </w:pPr>
    <w:rPr>
      <w:rFonts w:ascii="Arial" w:eastAsia="Batang" w:hAnsi="Arial"/>
      <w:b/>
      <w:sz w:val="44"/>
      <w:szCs w:val="20"/>
      <w:lang w:val="es-PE"/>
    </w:rPr>
  </w:style>
  <w:style w:type="character" w:customStyle="1" w:styleId="Textoindependiente3Car">
    <w:name w:val="Texto independiente 3 Car"/>
    <w:basedOn w:val="Fuentedeprrafopredeter"/>
    <w:link w:val="Textoindependiente3"/>
    <w:rsid w:val="00B943F0"/>
    <w:rPr>
      <w:rFonts w:ascii="Arial" w:eastAsia="Batang" w:hAnsi="Arial" w:cs="Times New Roman"/>
      <w:b/>
      <w:sz w:val="44"/>
      <w:szCs w:val="20"/>
      <w:lang w:val="es-PE" w:eastAsia="es-ES"/>
    </w:rPr>
  </w:style>
  <w:style w:type="paragraph" w:styleId="Sangradetextonormal">
    <w:name w:val="Body Text Indent"/>
    <w:basedOn w:val="Normal"/>
    <w:link w:val="SangradetextonormalCar"/>
    <w:rsid w:val="00B943F0"/>
    <w:pPr>
      <w:spacing w:after="120"/>
      <w:ind w:left="283"/>
    </w:pPr>
  </w:style>
  <w:style w:type="character" w:customStyle="1" w:styleId="SangradetextonormalCar">
    <w:name w:val="Sangría de texto normal Car"/>
    <w:basedOn w:val="Fuentedeprrafopredeter"/>
    <w:link w:val="Sangradetextonormal"/>
    <w:rsid w:val="00B943F0"/>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B943F0"/>
    <w:pPr>
      <w:spacing w:after="120"/>
    </w:pPr>
  </w:style>
  <w:style w:type="character" w:customStyle="1" w:styleId="TextoindependienteCar">
    <w:name w:val="Texto independiente Car"/>
    <w:basedOn w:val="Fuentedeprrafopredeter"/>
    <w:link w:val="Textoindependiente"/>
    <w:uiPriority w:val="99"/>
    <w:rsid w:val="00B943F0"/>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uiPriority w:val="9"/>
    <w:rsid w:val="00B943F0"/>
    <w:rPr>
      <w:rFonts w:ascii="Cambria" w:eastAsia="Times New Roman" w:hAnsi="Cambria" w:cs="Times New Roman"/>
      <w:b/>
      <w:bCs/>
      <w:kern w:val="32"/>
      <w:sz w:val="32"/>
      <w:szCs w:val="32"/>
      <w:lang w:eastAsia="es-PE"/>
    </w:rPr>
  </w:style>
  <w:style w:type="paragraph" w:styleId="Encabezado">
    <w:name w:val="header"/>
    <w:basedOn w:val="Normal"/>
    <w:link w:val="EncabezadoCar"/>
    <w:uiPriority w:val="99"/>
    <w:semiHidden/>
    <w:unhideWhenUsed/>
    <w:rsid w:val="00E4324A"/>
    <w:pPr>
      <w:tabs>
        <w:tab w:val="center" w:pos="4252"/>
        <w:tab w:val="right" w:pos="8504"/>
      </w:tabs>
    </w:pPr>
  </w:style>
  <w:style w:type="character" w:customStyle="1" w:styleId="EncabezadoCar">
    <w:name w:val="Encabezado Car"/>
    <w:basedOn w:val="Fuentedeprrafopredeter"/>
    <w:link w:val="Encabezado"/>
    <w:uiPriority w:val="99"/>
    <w:semiHidden/>
    <w:rsid w:val="00E4324A"/>
    <w:rPr>
      <w:rFonts w:ascii="Times New Roman" w:eastAsia="Times New Roman" w:hAnsi="Times New Roman" w:cs="Times New Roman"/>
      <w:sz w:val="24"/>
      <w:szCs w:val="24"/>
      <w:lang w:eastAsia="es-ES"/>
    </w:rPr>
  </w:style>
  <w:style w:type="paragraph" w:styleId="NormalWeb">
    <w:name w:val="Normal (Web)"/>
    <w:basedOn w:val="Normal"/>
    <w:uiPriority w:val="99"/>
    <w:unhideWhenUsed/>
    <w:rsid w:val="00E4324A"/>
    <w:rPr>
      <w:rFonts w:ascii="Arial" w:eastAsiaTheme="minorEastAsia" w:hAnsi="Arial" w:cs="Arial"/>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700</Words>
  <Characters>3854</Characters>
  <Application>Microsoft Office Word</Application>
  <DocSecurity>0</DocSecurity>
  <Lines>32</Lines>
  <Paragraphs>9</Paragraphs>
  <ScaleCrop>false</ScaleCrop>
  <Company/>
  <LinksUpToDate>false</LinksUpToDate>
  <CharactersWithSpaces>4545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rsoto</dc:creator>
  <cp:keywords/>
  <dc:description/>
  <cp:lastModifiedBy>mhinostroza</cp:lastModifiedBy>
  <cp:revision>2</cp:revision>
  <cp:lastPrinted>2011-06-22T15:47:00Z</cp:lastPrinted>
  <dcterms:created xsi:type="dcterms:W3CDTF">2011-09-13T21:18:00Z</dcterms:created>
  <dcterms:modified xsi:type="dcterms:W3CDTF">2011-09-13T21:18:00Z</dcterms:modified>
</cp:coreProperties>
</file>